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B9916" w14:textId="2EE86811" w:rsidR="000115D4" w:rsidRDefault="000115D4" w:rsidP="000115D4">
      <w:pPr>
        <w:jc w:val="center"/>
        <w:rPr>
          <w:lang w:val="fr-BE"/>
        </w:rPr>
      </w:pPr>
      <w:proofErr w:type="spellStart"/>
      <w:r>
        <w:rPr>
          <w:rFonts w:ascii="Arial" w:hAnsi="Arial" w:cs="Arial"/>
          <w:b/>
          <w:bCs/>
          <w:u w:val="single"/>
          <w:lang w:val="fr-BE"/>
        </w:rPr>
        <w:t>Q&amp;As</w:t>
      </w:r>
      <w:proofErr w:type="spellEnd"/>
    </w:p>
    <w:p w14:paraId="1A0C90F3" w14:textId="77777777" w:rsidR="000115D4" w:rsidRDefault="000115D4" w:rsidP="000115D4">
      <w:pPr>
        <w:rPr>
          <w:lang w:val="fr-BE"/>
        </w:rPr>
      </w:pPr>
      <w:r>
        <w:rPr>
          <w:rFonts w:ascii="Arial" w:hAnsi="Arial" w:cs="Arial"/>
          <w:lang w:val="fr-BE"/>
        </w:rPr>
        <w:t> </w:t>
      </w:r>
    </w:p>
    <w:p w14:paraId="6F217757" w14:textId="77777777" w:rsidR="000115D4" w:rsidRDefault="000115D4" w:rsidP="000115D4">
      <w:pPr>
        <w:jc w:val="both"/>
        <w:rPr>
          <w:lang w:val="fr-BE"/>
        </w:rPr>
      </w:pPr>
      <w:r>
        <w:rPr>
          <w:rFonts w:ascii="Arial" w:hAnsi="Arial" w:cs="Arial"/>
          <w:i/>
          <w:iCs/>
          <w:lang w:val="fr-BE"/>
        </w:rPr>
        <w:t>La nouvelle rédaction proposée de l'article 26 §2 des statuts supprime la majorité statutaire de 80% et la remplace par un renvoi à « des règles prévues par des dispositions spéciales convenues entre les actionnaires ».</w:t>
      </w:r>
    </w:p>
    <w:p w14:paraId="71EC463B" w14:textId="77777777" w:rsidR="000115D4" w:rsidRDefault="000115D4" w:rsidP="000115D4">
      <w:pPr>
        <w:jc w:val="both"/>
        <w:rPr>
          <w:lang w:val="fr-BE"/>
        </w:rPr>
      </w:pPr>
      <w:r>
        <w:rPr>
          <w:rFonts w:ascii="Arial" w:hAnsi="Arial" w:cs="Arial"/>
          <w:i/>
          <w:iCs/>
          <w:lang w:val="fr-BE"/>
        </w:rPr>
        <w:t> </w:t>
      </w:r>
    </w:p>
    <w:p w14:paraId="104F2891" w14:textId="77777777" w:rsidR="000115D4" w:rsidRPr="005F26BD" w:rsidRDefault="000115D4" w:rsidP="000115D4">
      <w:pPr>
        <w:jc w:val="both"/>
        <w:rPr>
          <w:lang w:val="fr-BE"/>
        </w:rPr>
      </w:pPr>
      <w:r>
        <w:rPr>
          <w:rFonts w:ascii="Arial" w:hAnsi="Arial" w:cs="Arial"/>
          <w:i/>
          <w:iCs/>
          <w:lang w:val="fr-BE"/>
        </w:rPr>
        <w:t xml:space="preserve">1. Ces « dispositions spéciales » désignent-elles le partenariat conclu entre CA Indosuez et </w:t>
      </w:r>
      <w:proofErr w:type="spellStart"/>
      <w:r>
        <w:rPr>
          <w:rFonts w:ascii="Arial" w:hAnsi="Arial" w:cs="Arial"/>
          <w:i/>
          <w:iCs/>
          <w:lang w:val="fr-BE"/>
        </w:rPr>
        <w:t>CLdN</w:t>
      </w:r>
      <w:proofErr w:type="spellEnd"/>
      <w:r>
        <w:rPr>
          <w:rFonts w:ascii="Arial" w:hAnsi="Arial" w:cs="Arial"/>
          <w:i/>
          <w:iCs/>
          <w:lang w:val="fr-BE"/>
        </w:rPr>
        <w:t xml:space="preserve"> Cobelfret, ou un autre pacte ? Pouvez-vous en communiquer un résumé actualisé aux actionnaires </w:t>
      </w:r>
      <w:r w:rsidRPr="005F26BD">
        <w:rPr>
          <w:rFonts w:ascii="Arial" w:hAnsi="Arial" w:cs="Arial"/>
          <w:i/>
          <w:iCs/>
          <w:lang w:val="fr-BE"/>
        </w:rPr>
        <w:t>non-signataires ?</w:t>
      </w:r>
    </w:p>
    <w:p w14:paraId="47D40224" w14:textId="77777777" w:rsidR="000115D4" w:rsidRPr="005F26BD" w:rsidRDefault="000115D4" w:rsidP="000115D4">
      <w:pPr>
        <w:jc w:val="both"/>
        <w:rPr>
          <w:lang w:val="fr-BE"/>
        </w:rPr>
      </w:pPr>
      <w:r w:rsidRPr="005F26BD">
        <w:rPr>
          <w:rFonts w:ascii="Arial" w:hAnsi="Arial" w:cs="Arial"/>
          <w:lang w:val="fr-BE"/>
        </w:rPr>
        <w:t> </w:t>
      </w:r>
    </w:p>
    <w:p w14:paraId="2B62F326" w14:textId="77777777" w:rsidR="000115D4" w:rsidRPr="005F26BD" w:rsidRDefault="000115D4" w:rsidP="000115D4">
      <w:pPr>
        <w:jc w:val="both"/>
        <w:rPr>
          <w:lang w:val="fr-BE"/>
        </w:rPr>
      </w:pPr>
      <w:r w:rsidRPr="005F26BD">
        <w:rPr>
          <w:rFonts w:ascii="Arial" w:hAnsi="Arial" w:cs="Arial"/>
          <w:b/>
          <w:bCs/>
          <w:color w:val="156082"/>
          <w:lang w:val="fr-BE"/>
        </w:rPr>
        <w:t>BDP</w:t>
      </w:r>
      <w:r w:rsidRPr="005F26BD">
        <w:rPr>
          <w:rFonts w:ascii="Arial" w:hAnsi="Arial" w:cs="Arial"/>
          <w:color w:val="156082"/>
          <w:lang w:val="fr-BE"/>
        </w:rPr>
        <w:t> : Les « </w:t>
      </w:r>
      <w:r w:rsidRPr="005F26BD">
        <w:rPr>
          <w:rFonts w:ascii="Arial" w:hAnsi="Arial" w:cs="Arial"/>
          <w:i/>
          <w:iCs/>
          <w:color w:val="156082"/>
          <w:lang w:val="fr-BE"/>
        </w:rPr>
        <w:t>dispositions spéciales convenues entre les actionnaires</w:t>
      </w:r>
      <w:r w:rsidRPr="005F26BD">
        <w:rPr>
          <w:rFonts w:ascii="Arial" w:hAnsi="Arial" w:cs="Arial"/>
          <w:color w:val="156082"/>
          <w:lang w:val="fr-BE"/>
        </w:rPr>
        <w:t xml:space="preserve"> » visées à l’article 26, §2 des statuts désignent en effet le pacte d’actionnaires conclu entre CA Indosuez et </w:t>
      </w:r>
      <w:proofErr w:type="spellStart"/>
      <w:r w:rsidRPr="005F26BD">
        <w:rPr>
          <w:rFonts w:ascii="Arial" w:hAnsi="Arial" w:cs="Arial"/>
          <w:color w:val="156082"/>
          <w:lang w:val="fr-BE"/>
        </w:rPr>
        <w:t>CLdN</w:t>
      </w:r>
      <w:proofErr w:type="spellEnd"/>
      <w:r w:rsidRPr="005F26BD">
        <w:rPr>
          <w:rFonts w:ascii="Arial" w:hAnsi="Arial" w:cs="Arial"/>
          <w:color w:val="156082"/>
          <w:lang w:val="fr-BE"/>
        </w:rPr>
        <w:t xml:space="preserve"> Finance (le </w:t>
      </w:r>
      <w:r w:rsidRPr="005F26BD">
        <w:rPr>
          <w:rFonts w:ascii="Arial" w:hAnsi="Arial" w:cs="Arial"/>
          <w:b/>
          <w:bCs/>
          <w:color w:val="156082"/>
          <w:lang w:val="fr-BE"/>
        </w:rPr>
        <w:t>Pacte d’Actionnaires</w:t>
      </w:r>
      <w:r w:rsidRPr="005F26BD">
        <w:rPr>
          <w:rFonts w:ascii="Arial" w:hAnsi="Arial" w:cs="Arial"/>
          <w:color w:val="156082"/>
          <w:lang w:val="fr-BE"/>
        </w:rPr>
        <w:t xml:space="preserve">). Les principaux termes de ce pacte sont repris dans le prospectus d’offre publique d’acquisition de CA Indosuez du 11 juin 2024 (le </w:t>
      </w:r>
      <w:r w:rsidRPr="005F26BD">
        <w:rPr>
          <w:rFonts w:ascii="Arial" w:hAnsi="Arial" w:cs="Arial"/>
          <w:b/>
          <w:bCs/>
          <w:color w:val="156082"/>
          <w:lang w:val="fr-BE"/>
        </w:rPr>
        <w:t>Prospectus</w:t>
      </w:r>
      <w:r w:rsidRPr="005F26BD">
        <w:rPr>
          <w:rFonts w:ascii="Arial" w:hAnsi="Arial" w:cs="Arial"/>
          <w:color w:val="156082"/>
          <w:lang w:val="fr-BE"/>
        </w:rPr>
        <w:t xml:space="preserve">) publié sur le site web de la FSMA (voir en particulier les pages 66 à 68 du Prospectus). </w:t>
      </w:r>
    </w:p>
    <w:p w14:paraId="0E16CB01" w14:textId="77777777" w:rsidR="000115D4" w:rsidRPr="005F26BD" w:rsidRDefault="000115D4" w:rsidP="000115D4">
      <w:pPr>
        <w:jc w:val="both"/>
        <w:rPr>
          <w:lang w:val="fr-BE"/>
        </w:rPr>
      </w:pPr>
      <w:r w:rsidRPr="005F26BD">
        <w:rPr>
          <w:rFonts w:ascii="Arial" w:hAnsi="Arial" w:cs="Arial"/>
          <w:lang w:val="fr-BE"/>
        </w:rPr>
        <w:t> </w:t>
      </w:r>
    </w:p>
    <w:p w14:paraId="1B76A2CF" w14:textId="77777777" w:rsidR="000115D4" w:rsidRPr="005F26BD" w:rsidRDefault="000115D4" w:rsidP="000115D4">
      <w:pPr>
        <w:jc w:val="both"/>
        <w:rPr>
          <w:lang w:val="fr-BE"/>
        </w:rPr>
      </w:pPr>
      <w:r w:rsidRPr="005F26BD">
        <w:rPr>
          <w:rFonts w:ascii="Arial" w:hAnsi="Arial" w:cs="Arial"/>
          <w:i/>
          <w:iCs/>
          <w:lang w:val="fr-BE"/>
        </w:rPr>
        <w:t>2. Quel seuil de majorité sera-t-il effectivement applicable aux décisions de l'assemblée générale extraordinaire après cette modification : le minimum légal de 75%, ou un seuil supérieur fixé par le pacte ?</w:t>
      </w:r>
    </w:p>
    <w:p w14:paraId="31509094" w14:textId="77777777" w:rsidR="000115D4" w:rsidRPr="005F26BD" w:rsidRDefault="000115D4" w:rsidP="000115D4">
      <w:pPr>
        <w:jc w:val="both"/>
        <w:rPr>
          <w:lang w:val="fr-BE"/>
        </w:rPr>
      </w:pPr>
      <w:r w:rsidRPr="005F26BD">
        <w:rPr>
          <w:rFonts w:ascii="Arial" w:hAnsi="Arial" w:cs="Arial"/>
          <w:i/>
          <w:iCs/>
          <w:lang w:val="fr-BE"/>
        </w:rPr>
        <w:t> </w:t>
      </w:r>
    </w:p>
    <w:p w14:paraId="7AC74C23" w14:textId="610831B1" w:rsidR="000115D4" w:rsidRPr="005F26BD" w:rsidRDefault="000115D4" w:rsidP="000115D4">
      <w:pPr>
        <w:jc w:val="both"/>
        <w:rPr>
          <w:lang w:val="fr-BE"/>
        </w:rPr>
      </w:pPr>
      <w:r w:rsidRPr="005F26BD">
        <w:rPr>
          <w:rFonts w:ascii="Arial" w:hAnsi="Arial" w:cs="Arial"/>
          <w:b/>
          <w:bCs/>
          <w:color w:val="156082"/>
          <w:lang w:val="fr-BE"/>
        </w:rPr>
        <w:t>BDP</w:t>
      </w:r>
      <w:r w:rsidRPr="005F26BD">
        <w:rPr>
          <w:rFonts w:ascii="Arial" w:hAnsi="Arial" w:cs="Arial"/>
          <w:color w:val="156082"/>
          <w:lang w:val="fr-BE"/>
        </w:rPr>
        <w:t xml:space="preserve"> : Les seuils de majorité repris dans le Pacte d’Actionnaires sont décrits à la page 67 du Prospectus (voir le point (i) </w:t>
      </w:r>
      <w:r w:rsidRPr="005F26BD">
        <w:rPr>
          <w:rFonts w:ascii="Arial" w:hAnsi="Arial" w:cs="Arial"/>
          <w:i/>
          <w:iCs/>
          <w:color w:val="156082"/>
          <w:lang w:val="fr-BE"/>
        </w:rPr>
        <w:t xml:space="preserve">Impacts sur la Société Cible du pacte d’actionnaires avec </w:t>
      </w:r>
      <w:proofErr w:type="spellStart"/>
      <w:r w:rsidRPr="005F26BD">
        <w:rPr>
          <w:rFonts w:ascii="Arial" w:hAnsi="Arial" w:cs="Arial"/>
          <w:i/>
          <w:iCs/>
          <w:color w:val="156082"/>
          <w:lang w:val="fr-BE"/>
        </w:rPr>
        <w:t>CLdN</w:t>
      </w:r>
      <w:proofErr w:type="spellEnd"/>
      <w:r w:rsidRPr="005F26BD">
        <w:rPr>
          <w:rFonts w:ascii="Arial" w:hAnsi="Arial" w:cs="Arial"/>
          <w:i/>
          <w:iCs/>
          <w:color w:val="156082"/>
          <w:lang w:val="fr-BE"/>
        </w:rPr>
        <w:t xml:space="preserve"> Finance</w:t>
      </w:r>
      <w:r w:rsidRPr="005F26BD">
        <w:rPr>
          <w:rFonts w:ascii="Arial" w:hAnsi="Arial" w:cs="Arial"/>
          <w:color w:val="156082"/>
          <w:lang w:val="fr-BE"/>
        </w:rPr>
        <w:t>)</w:t>
      </w:r>
      <w:r w:rsidRPr="005F26BD">
        <w:rPr>
          <w:rFonts w:ascii="Arial" w:hAnsi="Arial" w:cs="Arial"/>
          <w:color w:val="156082"/>
          <w:lang w:val="fr-BE"/>
        </w:rPr>
        <w:t>.</w:t>
      </w:r>
    </w:p>
    <w:p w14:paraId="4AC0DAC4" w14:textId="77777777" w:rsidR="000115D4" w:rsidRPr="005F26BD" w:rsidRDefault="000115D4" w:rsidP="000115D4">
      <w:pPr>
        <w:jc w:val="both"/>
        <w:rPr>
          <w:lang w:val="fr-BE"/>
        </w:rPr>
      </w:pPr>
      <w:r w:rsidRPr="005F26BD">
        <w:rPr>
          <w:rFonts w:ascii="Arial" w:hAnsi="Arial" w:cs="Arial"/>
          <w:color w:val="156082"/>
          <w:lang w:val="fr-BE"/>
        </w:rPr>
        <w:t> </w:t>
      </w:r>
    </w:p>
    <w:p w14:paraId="5BB472EA" w14:textId="722654D9" w:rsidR="000115D4" w:rsidRPr="005F26BD" w:rsidRDefault="000115D4" w:rsidP="00E6285B">
      <w:pPr>
        <w:jc w:val="both"/>
        <w:rPr>
          <w:lang w:val="fr-BE"/>
        </w:rPr>
      </w:pPr>
      <w:r w:rsidRPr="005F26BD">
        <w:rPr>
          <w:rFonts w:ascii="Arial" w:hAnsi="Arial" w:cs="Arial"/>
          <w:i/>
          <w:iCs/>
          <w:lang w:val="fr-BE"/>
        </w:rPr>
        <w:t> </w:t>
      </w:r>
    </w:p>
    <w:p w14:paraId="34A9512E" w14:textId="77777777" w:rsidR="000115D4" w:rsidRPr="005F26BD" w:rsidRDefault="000115D4" w:rsidP="000115D4">
      <w:pPr>
        <w:jc w:val="both"/>
        <w:rPr>
          <w:lang w:val="fr-BE"/>
        </w:rPr>
      </w:pPr>
      <w:r w:rsidRPr="005F26BD">
        <w:rPr>
          <w:rFonts w:ascii="Arial" w:hAnsi="Arial" w:cs="Arial"/>
          <w:i/>
          <w:iCs/>
          <w:lang w:val="fr-BE"/>
        </w:rPr>
        <w:t>3. Sur quel fondement un seuil de majorité contenu dans un pacte de droit privé peut-il être rendu opposable aux actionnaires qui n'y sont pas parties ?</w:t>
      </w:r>
    </w:p>
    <w:p w14:paraId="5E9C0E7A" w14:textId="77777777" w:rsidR="000115D4" w:rsidRPr="005F26BD" w:rsidRDefault="000115D4" w:rsidP="000115D4">
      <w:pPr>
        <w:jc w:val="both"/>
        <w:rPr>
          <w:lang w:val="fr-BE"/>
        </w:rPr>
      </w:pPr>
      <w:r w:rsidRPr="005F26BD">
        <w:rPr>
          <w:rFonts w:ascii="Arial" w:hAnsi="Arial" w:cs="Arial"/>
          <w:lang w:val="fr-BE"/>
        </w:rPr>
        <w:t> </w:t>
      </w:r>
    </w:p>
    <w:p w14:paraId="21C7DE5E" w14:textId="74D5E9FB" w:rsidR="00E6285B" w:rsidRPr="00E6285B" w:rsidRDefault="00BC13CB" w:rsidP="00E6285B">
      <w:pPr>
        <w:jc w:val="both"/>
        <w:rPr>
          <w:rFonts w:ascii="Arial" w:hAnsi="Arial" w:cs="Arial"/>
          <w:color w:val="156082"/>
          <w:lang w:val="fr-BE"/>
        </w:rPr>
      </w:pPr>
      <w:r>
        <w:rPr>
          <w:rFonts w:ascii="Arial" w:hAnsi="Arial" w:cs="Arial"/>
          <w:b/>
          <w:bCs/>
          <w:color w:val="156082"/>
          <w:lang w:val="fr-BE"/>
        </w:rPr>
        <w:t>BDP</w:t>
      </w:r>
      <w:r>
        <w:rPr>
          <w:rFonts w:ascii="Arial" w:hAnsi="Arial" w:cs="Arial"/>
          <w:color w:val="156082"/>
          <w:lang w:val="fr-BE"/>
        </w:rPr>
        <w:t xml:space="preserve"> : </w:t>
      </w:r>
      <w:r w:rsidR="00E6285B" w:rsidRPr="00E6285B">
        <w:rPr>
          <w:rFonts w:ascii="Arial" w:hAnsi="Arial" w:cs="Arial"/>
          <w:color w:val="156082"/>
          <w:lang w:val="fr-BE"/>
        </w:rPr>
        <w:t xml:space="preserve">Le Pacte d’Actionnaires en lui-même n’est effectivement pas opposable aux actionnaires qui n’y sont pas parties, conformément au principe de la relativité des conventions. Pour rendre une règle de majorité pleinement opposable à l’ensemble des actionnaires, celle-ci doit en principe être reprise expressément dans les statuts, seuls opposables erga </w:t>
      </w:r>
      <w:proofErr w:type="spellStart"/>
      <w:r w:rsidR="00E6285B" w:rsidRPr="00E6285B">
        <w:rPr>
          <w:rFonts w:ascii="Arial" w:hAnsi="Arial" w:cs="Arial"/>
          <w:color w:val="156082"/>
          <w:lang w:val="fr-BE"/>
        </w:rPr>
        <w:t>omnes</w:t>
      </w:r>
      <w:proofErr w:type="spellEnd"/>
      <w:r w:rsidR="00E6285B" w:rsidRPr="00E6285B">
        <w:rPr>
          <w:rFonts w:ascii="Arial" w:hAnsi="Arial" w:cs="Arial"/>
          <w:color w:val="156082"/>
          <w:lang w:val="fr-BE"/>
        </w:rPr>
        <w:t xml:space="preserve">. Les modifications statutaires approuvées par l’assemblée générale sont ainsi opposables à l’ensemble des actionnaires. </w:t>
      </w:r>
    </w:p>
    <w:p w14:paraId="4A0D7E97" w14:textId="0BAA8821" w:rsidR="00BC13CB" w:rsidRDefault="00BC13CB" w:rsidP="00BC13CB">
      <w:pPr>
        <w:rPr>
          <w:lang w:val="fr-BE"/>
        </w:rPr>
      </w:pPr>
    </w:p>
    <w:p w14:paraId="07145A02" w14:textId="02BE51A2" w:rsidR="000115D4" w:rsidRPr="005F26BD" w:rsidRDefault="000115D4" w:rsidP="000115D4">
      <w:pPr>
        <w:rPr>
          <w:lang w:val="fr-BE"/>
        </w:rPr>
      </w:pPr>
    </w:p>
    <w:p w14:paraId="32CDAEAF" w14:textId="77777777" w:rsidR="000115D4" w:rsidRDefault="000115D4" w:rsidP="000115D4">
      <w:pPr>
        <w:jc w:val="center"/>
        <w:rPr>
          <w:lang w:val="fr-BE"/>
        </w:rPr>
      </w:pPr>
      <w:r w:rsidRPr="005F26BD">
        <w:rPr>
          <w:rFonts w:ascii="Arial" w:hAnsi="Arial" w:cs="Arial"/>
          <w:lang w:val="fr-BE"/>
        </w:rPr>
        <w:t>***</w:t>
      </w:r>
    </w:p>
    <w:p w14:paraId="7F0C6F26" w14:textId="77777777" w:rsidR="00B455D2" w:rsidRDefault="00B455D2"/>
    <w:sectPr w:rsidR="00B455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5D4"/>
    <w:rsid w:val="000115D4"/>
    <w:rsid w:val="003C2955"/>
    <w:rsid w:val="004568C3"/>
    <w:rsid w:val="005F26BD"/>
    <w:rsid w:val="005F5A49"/>
    <w:rsid w:val="00636162"/>
    <w:rsid w:val="007605C8"/>
    <w:rsid w:val="00A46449"/>
    <w:rsid w:val="00B24C26"/>
    <w:rsid w:val="00B455D2"/>
    <w:rsid w:val="00BC13CB"/>
    <w:rsid w:val="00C44E88"/>
    <w:rsid w:val="00E6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8C29E9"/>
  <w15:chartTrackingRefBased/>
  <w15:docId w15:val="{5A7D7FB6-B30A-4566-A3C3-D6A142507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5D4"/>
    <w:pPr>
      <w:spacing w:after="0" w:line="240" w:lineRule="auto"/>
    </w:pPr>
    <w:rPr>
      <w:rFonts w:ascii="Aptos" w:hAnsi="Aptos" w:cs="Aptos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15D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15D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5D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15D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5D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5D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5D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5D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5D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5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15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5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15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5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5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5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5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5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15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11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5D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11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15D4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115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15D4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115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5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5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15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305</Words>
  <Characters>1647</Characters>
  <Application>Microsoft Office Word</Application>
  <DocSecurity>0</DocSecurity>
  <Lines>39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Ghion</dc:creator>
  <cp:keywords/>
  <dc:description/>
  <cp:lastModifiedBy/>
  <cp:revision>1</cp:revision>
  <cp:lastPrinted>2026-05-26T07:31:00Z</cp:lastPrinted>
  <dcterms:created xsi:type="dcterms:W3CDTF">2026-05-26T05:38:00Z</dcterms:created>
</cp:coreProperties>
</file>